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2219" w14:textId="5997F3F7" w:rsidR="006E60C0" w:rsidRDefault="006E60C0" w:rsidP="00E717DB">
      <w:pPr>
        <w:pStyle w:val="NormalWeb"/>
        <w:spacing w:line="270" w:lineRule="atLeast"/>
        <w:rPr>
          <w:rFonts w:ascii="Arial" w:hAnsi="Arial" w:cs="Arial"/>
          <w:color w:val="000000"/>
        </w:rPr>
      </w:pPr>
      <w:r>
        <w:rPr>
          <w:rFonts w:ascii="Arial" w:hAnsi="Arial" w:cs="Arial"/>
          <w:color w:val="000000"/>
        </w:rPr>
        <w:t xml:space="preserve">Nuview </w:t>
      </w:r>
      <w:r w:rsidR="00904D8A">
        <w:rPr>
          <w:rFonts w:ascii="Arial" w:hAnsi="Arial" w:cs="Arial"/>
          <w:color w:val="000000"/>
        </w:rPr>
        <w:t xml:space="preserve">May </w:t>
      </w:r>
      <w:r>
        <w:rPr>
          <w:rFonts w:ascii="Arial" w:hAnsi="Arial" w:cs="Arial"/>
          <w:color w:val="000000"/>
        </w:rPr>
        <w:t xml:space="preserve">Overview </w:t>
      </w:r>
    </w:p>
    <w:p w14:paraId="5CF01D2B" w14:textId="7F797764" w:rsidR="00E717DB" w:rsidRPr="00E27136" w:rsidRDefault="00E717DB" w:rsidP="00E717DB">
      <w:pPr>
        <w:pStyle w:val="NormalWeb"/>
        <w:spacing w:line="270" w:lineRule="atLeast"/>
        <w:rPr>
          <w:rFonts w:ascii="Arial" w:hAnsi="Arial" w:cs="Arial"/>
          <w:color w:val="000000"/>
        </w:rPr>
      </w:pPr>
      <w:r w:rsidRPr="00E27136">
        <w:rPr>
          <w:rFonts w:ascii="Arial" w:hAnsi="Arial" w:cs="Arial"/>
          <w:color w:val="000000"/>
        </w:rPr>
        <w:t>Is uncertainty holding you back from investing? With so much volatility in the market, it can be challenging to know where to invest your money to achieve results.</w:t>
      </w:r>
    </w:p>
    <w:p w14:paraId="556F8DFA" w14:textId="77777777" w:rsidR="00E27136" w:rsidRDefault="00E27136" w:rsidP="00E27136">
      <w:pPr>
        <w:pStyle w:val="NormalWeb"/>
        <w:spacing w:line="240" w:lineRule="atLeast"/>
        <w:rPr>
          <w:rFonts w:ascii="Arial" w:hAnsi="Arial" w:cs="Arial"/>
          <w:color w:val="000000"/>
        </w:rPr>
      </w:pPr>
      <w:r w:rsidRPr="00E27136">
        <w:rPr>
          <w:rFonts w:ascii="Arial" w:hAnsi="Arial" w:cs="Arial"/>
          <w:color w:val="000000"/>
        </w:rPr>
        <w:t xml:space="preserve">Financial markets have been heavily influenced by </w:t>
      </w:r>
      <w:proofErr w:type="gramStart"/>
      <w:r w:rsidRPr="00E27136">
        <w:rPr>
          <w:rFonts w:ascii="Arial" w:hAnsi="Arial" w:cs="Arial"/>
          <w:color w:val="000000"/>
        </w:rPr>
        <w:t>a number of</w:t>
      </w:r>
      <w:proofErr w:type="gramEnd"/>
      <w:r w:rsidRPr="00E27136">
        <w:rPr>
          <w:rFonts w:ascii="Arial" w:hAnsi="Arial" w:cs="Arial"/>
          <w:color w:val="000000"/>
        </w:rPr>
        <w:t xml:space="preserve"> factors in recent months, including expectations that the Federal Reserve may be nearing the end of the current tightening cycle and ongoing turbulence in the banking industry.  As the markets digest this and other factors, market leadership has vacillated between </w:t>
      </w:r>
      <w:proofErr w:type="gramStart"/>
      <w:r w:rsidRPr="00E27136">
        <w:rPr>
          <w:rFonts w:ascii="Arial" w:hAnsi="Arial" w:cs="Arial"/>
          <w:color w:val="000000"/>
        </w:rPr>
        <w:t>a number of</w:t>
      </w:r>
      <w:proofErr w:type="gramEnd"/>
      <w:r w:rsidRPr="00E27136">
        <w:rPr>
          <w:rFonts w:ascii="Arial" w:hAnsi="Arial" w:cs="Arial"/>
          <w:color w:val="000000"/>
        </w:rPr>
        <w:t xml:space="preserve"> different sectors.  </w:t>
      </w:r>
    </w:p>
    <w:p w14:paraId="38140CFE" w14:textId="77777777" w:rsidR="006E60C0" w:rsidRDefault="00E27136" w:rsidP="006E60C0">
      <w:pPr>
        <w:pStyle w:val="NormalWeb"/>
        <w:spacing w:line="240" w:lineRule="atLeast"/>
        <w:rPr>
          <w:rFonts w:ascii="Arial" w:hAnsi="Arial" w:cs="Arial"/>
          <w:color w:val="000000"/>
        </w:rPr>
      </w:pPr>
      <w:r w:rsidRPr="00E27136">
        <w:rPr>
          <w:rFonts w:ascii="Arial" w:hAnsi="Arial" w:cs="Arial"/>
          <w:color w:val="000000"/>
        </w:rPr>
        <w:t>In April, the best performing sectors were Consumer Staples, Communication Services, and Financials while Industrials, Consumer Discretionary, and Basic Materials were among the laggards.  April did see continued strength in large cap stocks</w:t>
      </w:r>
      <w:r>
        <w:rPr>
          <w:rFonts w:ascii="Arial" w:hAnsi="Arial" w:cs="Arial"/>
          <w:color w:val="000000"/>
        </w:rPr>
        <w:t xml:space="preserve"> (+1.6%)</w:t>
      </w:r>
      <w:r w:rsidRPr="00E27136">
        <w:rPr>
          <w:rFonts w:ascii="Arial" w:hAnsi="Arial" w:cs="Arial"/>
          <w:color w:val="000000"/>
        </w:rPr>
        <w:t xml:space="preserve"> relative to mid and small</w:t>
      </w:r>
      <w:r>
        <w:rPr>
          <w:rFonts w:ascii="Arial" w:hAnsi="Arial" w:cs="Arial"/>
          <w:color w:val="000000"/>
        </w:rPr>
        <w:t xml:space="preserve"> caps (-1.8%)</w:t>
      </w:r>
      <w:r w:rsidRPr="00E27136">
        <w:rPr>
          <w:rFonts w:ascii="Arial" w:hAnsi="Arial" w:cs="Arial"/>
          <w:color w:val="000000"/>
        </w:rPr>
        <w:t>.  </w:t>
      </w:r>
    </w:p>
    <w:p w14:paraId="6D0AC168" w14:textId="3DC134D1" w:rsidR="006E60C0" w:rsidRPr="00E27136" w:rsidRDefault="006E60C0" w:rsidP="006E60C0">
      <w:pPr>
        <w:pStyle w:val="NormalWeb"/>
        <w:spacing w:line="240" w:lineRule="atLeast"/>
        <w:rPr>
          <w:rFonts w:ascii="Arial" w:hAnsi="Arial" w:cs="Arial"/>
          <w:color w:val="000000"/>
        </w:rPr>
      </w:pPr>
      <w:r>
        <w:rPr>
          <w:rFonts w:ascii="Arial" w:hAnsi="Arial" w:cs="Arial"/>
          <w:color w:val="000000"/>
        </w:rPr>
        <w:t>F</w:t>
      </w:r>
      <w:r w:rsidRPr="00E27136">
        <w:rPr>
          <w:rFonts w:ascii="Arial" w:hAnsi="Arial" w:cs="Arial"/>
          <w:color w:val="000000"/>
        </w:rPr>
        <w:t>rom an asset class perspective, international stocks (developed international markets in particular) added to their gains for the year, bonds were generally positive for the month, while many commodities were weak.</w:t>
      </w:r>
    </w:p>
    <w:p w14:paraId="614A9D80" w14:textId="0AC06893" w:rsidR="00E27136" w:rsidRDefault="00E27136" w:rsidP="00E27136">
      <w:pPr>
        <w:pStyle w:val="NormalWeb"/>
        <w:spacing w:line="270" w:lineRule="atLeast"/>
        <w:rPr>
          <w:rFonts w:ascii="Arial" w:eastAsia="Times New Roman" w:hAnsi="Arial" w:cs="Arial"/>
          <w:color w:val="171B20"/>
        </w:rPr>
      </w:pPr>
      <w:r w:rsidRPr="00E27136">
        <w:rPr>
          <w:rFonts w:ascii="Arial" w:eastAsia="Times New Roman" w:hAnsi="Arial" w:cs="Arial"/>
          <w:color w:val="171B20"/>
        </w:rPr>
        <w:t xml:space="preserve">Since 1 January 2023 the top 10 performing S&amp;P 500 companies have driven over 80% of the index's returns. Whilst this has seen a relative underperformance of U.S. small caps relative to large caps, experience </w:t>
      </w:r>
      <w:r>
        <w:rPr>
          <w:rFonts w:ascii="Arial" w:eastAsia="Times New Roman" w:hAnsi="Arial" w:cs="Arial"/>
          <w:color w:val="171B20"/>
        </w:rPr>
        <w:t>has shown t</w:t>
      </w:r>
      <w:r w:rsidRPr="00E27136">
        <w:rPr>
          <w:rFonts w:ascii="Arial" w:eastAsia="Times New Roman" w:hAnsi="Arial" w:cs="Arial"/>
          <w:color w:val="171B20"/>
        </w:rPr>
        <w:t>his should normalise as liquidity returns to smaller companies. </w:t>
      </w:r>
    </w:p>
    <w:p w14:paraId="07384A04" w14:textId="7A3963E2" w:rsidR="005818EE" w:rsidRDefault="005818EE" w:rsidP="00E27136">
      <w:pPr>
        <w:pStyle w:val="NormalWeb"/>
        <w:spacing w:line="270" w:lineRule="atLeast"/>
        <w:rPr>
          <w:rFonts w:ascii="Helvetica" w:hAnsi="Helvetica"/>
          <w:sz w:val="21"/>
          <w:szCs w:val="21"/>
        </w:rPr>
      </w:pPr>
      <w:r w:rsidRPr="005818EE">
        <w:rPr>
          <w:rFonts w:ascii="Helvetica" w:hAnsi="Helvetica"/>
          <w:sz w:val="21"/>
          <w:szCs w:val="21"/>
        </w:rPr>
        <w:t>The kiwi sharemarket was lower on Wednesday, with the NZX50 dipping 1.08% to 11,907. Sentiment turned lower mainly due to offshore drivers, with releases domestically being largely positive. NZ unemployment held around historic lows at 3.4%, while there was a somewhat reassuring tone from the RBNZ’s semi-annual Financial Stability report</w:t>
      </w:r>
      <w:r>
        <w:rPr>
          <w:rFonts w:ascii="Helvetica" w:hAnsi="Helvetica"/>
          <w:sz w:val="21"/>
          <w:szCs w:val="21"/>
        </w:rPr>
        <w:t>.</w:t>
      </w:r>
    </w:p>
    <w:p w14:paraId="40B112A3" w14:textId="77777777" w:rsidR="005818EE" w:rsidRDefault="005818EE" w:rsidP="00E27136">
      <w:pPr>
        <w:pStyle w:val="NormalWeb"/>
        <w:spacing w:line="270" w:lineRule="atLeast"/>
        <w:rPr>
          <w:rFonts w:ascii="Arial" w:eastAsia="Times New Roman" w:hAnsi="Arial" w:cs="Arial"/>
          <w:color w:val="171B20"/>
        </w:rPr>
      </w:pPr>
      <w:r w:rsidRPr="005818EE">
        <w:rPr>
          <w:rFonts w:ascii="Helvetica" w:hAnsi="Helvetica"/>
          <w:sz w:val="21"/>
          <w:szCs w:val="21"/>
        </w:rPr>
        <w:t>The RBNZ released its financial stability report, a six-monthly health check on the state of the financial system. The central bank sounded a reassuring tone, saying that New Zealand’s financial system was “well placed to handle the higher interest rate environment and international financial disruptions,” even if the full extent of the impact of previous tightening is still to be seen. While inflation has remained high, it is declining, and the central bank has recognised that parts of the economy (particularly property) have already cooled. </w:t>
      </w:r>
    </w:p>
    <w:p w14:paraId="56AC34A7" w14:textId="77777777" w:rsidR="00904D8A" w:rsidRDefault="00904D8A" w:rsidP="00E27136">
      <w:pPr>
        <w:pStyle w:val="NormalWeb"/>
        <w:spacing w:line="270" w:lineRule="atLeast"/>
        <w:rPr>
          <w:rFonts w:ascii="Helvetica" w:hAnsi="Helvetica"/>
          <w:sz w:val="21"/>
          <w:szCs w:val="21"/>
        </w:rPr>
      </w:pPr>
      <w:r w:rsidRPr="00904D8A">
        <w:rPr>
          <w:rFonts w:ascii="Helvetica" w:hAnsi="Helvetica"/>
          <w:sz w:val="21"/>
          <w:szCs w:val="21"/>
        </w:rPr>
        <w:t xml:space="preserve">A tight jobs market has kept unemployment around historic lows at 3.4%. Annual income growth has not quite kept up with </w:t>
      </w:r>
      <w:r w:rsidRPr="00904D8A">
        <w:rPr>
          <w:rFonts w:ascii="Helvetica" w:hAnsi="Helvetica"/>
          <w:sz w:val="21"/>
          <w:szCs w:val="21"/>
        </w:rPr>
        <w:t>inflation but</w:t>
      </w:r>
      <w:r w:rsidRPr="00904D8A">
        <w:rPr>
          <w:rFonts w:ascii="Helvetica" w:hAnsi="Helvetica"/>
          <w:sz w:val="21"/>
          <w:szCs w:val="21"/>
        </w:rPr>
        <w:t xml:space="preserve"> is running at a record 4.3%. Arrears generally are running at very low levels</w:t>
      </w:r>
      <w:r>
        <w:rPr>
          <w:rFonts w:ascii="Helvetica" w:hAnsi="Helvetica"/>
          <w:sz w:val="21"/>
          <w:szCs w:val="21"/>
        </w:rPr>
        <w:t>.</w:t>
      </w:r>
    </w:p>
    <w:p w14:paraId="5F33E209" w14:textId="77777777" w:rsidR="00904D8A" w:rsidRDefault="00904D8A" w:rsidP="00E27136">
      <w:pPr>
        <w:pStyle w:val="NormalWeb"/>
        <w:spacing w:line="270" w:lineRule="atLeast"/>
        <w:rPr>
          <w:rFonts w:ascii="Helvetica" w:hAnsi="Helvetica"/>
          <w:sz w:val="21"/>
          <w:szCs w:val="21"/>
        </w:rPr>
      </w:pPr>
      <w:r w:rsidRPr="00904D8A">
        <w:rPr>
          <w:rFonts w:ascii="Helvetica" w:hAnsi="Helvetica"/>
          <w:sz w:val="21"/>
          <w:szCs w:val="21"/>
        </w:rPr>
        <w:t>The Aussie market was lower on Wednesday, following on from the RBA’s surprise decision to increase interest rates by 25bps, after pushing the pause button last month. The ASX200 declined 1% to 7,197. Energy stocks weighed following a fall in oil prices and most other sectors were lower, with the notable exception of gold which rallied 2%. Telcos were also strong, with TPG lifting 1.5%, and Telstra 0.7% higher</w:t>
      </w:r>
      <w:r>
        <w:rPr>
          <w:rFonts w:ascii="Helvetica" w:hAnsi="Helvetica"/>
          <w:sz w:val="21"/>
          <w:szCs w:val="21"/>
        </w:rPr>
        <w:t>.</w:t>
      </w:r>
    </w:p>
    <w:p w14:paraId="285B969C" w14:textId="77777777" w:rsidR="00E717DB" w:rsidRDefault="00E717DB" w:rsidP="00E717DB">
      <w:pPr>
        <w:pStyle w:val="NormalWeb"/>
        <w:spacing w:line="270" w:lineRule="atLeast"/>
        <w:rPr>
          <w:rFonts w:ascii="Arial" w:hAnsi="Arial" w:cs="Arial"/>
          <w:i/>
          <w:iCs/>
          <w:sz w:val="21"/>
          <w:szCs w:val="21"/>
        </w:rPr>
      </w:pPr>
    </w:p>
    <w:p w14:paraId="6931A02D" w14:textId="64263211" w:rsidR="00E717DB" w:rsidRDefault="00E717DB" w:rsidP="00E717DB">
      <w:pPr>
        <w:pStyle w:val="NormalWeb"/>
        <w:spacing w:line="270" w:lineRule="atLeast"/>
        <w:rPr>
          <w:rFonts w:ascii="Arial" w:hAnsi="Arial" w:cs="Arial"/>
          <w:sz w:val="21"/>
          <w:szCs w:val="21"/>
        </w:rPr>
      </w:pPr>
      <w:r>
        <w:rPr>
          <w:rFonts w:ascii="Arial" w:hAnsi="Arial" w:cs="Arial"/>
          <w:i/>
          <w:iCs/>
          <w:sz w:val="21"/>
          <w:szCs w:val="21"/>
        </w:rPr>
        <w:t>“The greatest mistake you can make is to be continually fearing you'll make one.” </w:t>
      </w:r>
    </w:p>
    <w:p w14:paraId="3EEB5660" w14:textId="764E8A4B" w:rsidR="005320CB" w:rsidRDefault="00E717DB" w:rsidP="00E717DB">
      <w:r>
        <w:rPr>
          <w:rStyle w:val="Emphasis"/>
          <w:rFonts w:ascii="Arial" w:hAnsi="Arial" w:cs="Arial"/>
          <w:sz w:val="21"/>
          <w:szCs w:val="21"/>
        </w:rPr>
        <w:t>–  Elbert Hubbard</w:t>
      </w:r>
    </w:p>
    <w:p w14:paraId="7D52394F" w14:textId="77777777" w:rsidR="00E27136" w:rsidRDefault="00E27136"/>
    <w:sectPr w:rsidR="00E271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DB"/>
    <w:rsid w:val="005320CB"/>
    <w:rsid w:val="005818EE"/>
    <w:rsid w:val="006E60C0"/>
    <w:rsid w:val="00904D8A"/>
    <w:rsid w:val="00E27136"/>
    <w:rsid w:val="00E717DB"/>
    <w:rsid w:val="00E748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7C7E"/>
  <w15:chartTrackingRefBased/>
  <w15:docId w15:val="{E07ADDCA-E8FD-4020-B329-5CB14B15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7DB"/>
    <w:pPr>
      <w:spacing w:after="0" w:line="240" w:lineRule="auto"/>
    </w:pPr>
    <w:rPr>
      <w:rFonts w:ascii="Calibri" w:hAnsi="Calibri" w:cs="Calibri"/>
      <w:kern w:val="0"/>
      <w:lang w:eastAsia="en-N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7DB"/>
    <w:pPr>
      <w:spacing w:before="100" w:beforeAutospacing="1" w:after="100" w:afterAutospacing="1"/>
    </w:pPr>
  </w:style>
  <w:style w:type="character" w:styleId="Emphasis">
    <w:name w:val="Emphasis"/>
    <w:basedOn w:val="DefaultParagraphFont"/>
    <w:uiPriority w:val="20"/>
    <w:qFormat/>
    <w:rsid w:val="00E717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1202">
      <w:bodyDiv w:val="1"/>
      <w:marLeft w:val="0"/>
      <w:marRight w:val="0"/>
      <w:marTop w:val="0"/>
      <w:marBottom w:val="0"/>
      <w:divBdr>
        <w:top w:val="none" w:sz="0" w:space="0" w:color="auto"/>
        <w:left w:val="none" w:sz="0" w:space="0" w:color="auto"/>
        <w:bottom w:val="none" w:sz="0" w:space="0" w:color="auto"/>
        <w:right w:val="none" w:sz="0" w:space="0" w:color="auto"/>
      </w:divBdr>
    </w:div>
    <w:div w:id="106163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8B81A0A4CF44C882C7F8D1AC82514" ma:contentTypeVersion="16" ma:contentTypeDescription="Create a new document." ma:contentTypeScope="" ma:versionID="9c28c66522bcf4e423bb668b69d477e8">
  <xsd:schema xmlns:xsd="http://www.w3.org/2001/XMLSchema" xmlns:xs="http://www.w3.org/2001/XMLSchema" xmlns:p="http://schemas.microsoft.com/office/2006/metadata/properties" xmlns:ns2="644b10aa-f9f7-4072-807c-d65dce15b211" xmlns:ns3="1858bf09-bf04-418a-be22-3f9d2a226fc1" targetNamespace="http://schemas.microsoft.com/office/2006/metadata/properties" ma:root="true" ma:fieldsID="26f22326af6d17e3a1e03a796f3792b9" ns2:_="" ns3:_="">
    <xsd:import namespace="644b10aa-f9f7-4072-807c-d65dce15b211"/>
    <xsd:import namespace="1858bf09-bf04-418a-be22-3f9d2a226f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b10aa-f9f7-4072-807c-d65dce15b2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535fac65-6c55-4815-af00-271258f91674}" ma:internalName="TaxCatchAll" ma:showField="CatchAllData" ma:web="644b10aa-f9f7-4072-807c-d65dce15b2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58bf09-bf04-418a-be22-3f9d2a226fc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b4a42c-2874-4f51-8e3f-320573e3767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58bf09-bf04-418a-be22-3f9d2a226fc1">
      <Terms xmlns="http://schemas.microsoft.com/office/infopath/2007/PartnerControls"/>
    </lcf76f155ced4ddcb4097134ff3c332f>
    <TaxCatchAll xmlns="644b10aa-f9f7-4072-807c-d65dce15b2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54C83-7121-41AF-8E23-60BCB0E54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b10aa-f9f7-4072-807c-d65dce15b211"/>
    <ds:schemaRef ds:uri="1858bf09-bf04-418a-be22-3f9d2a226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D575F-6229-4368-99FE-75D63C6A3DBA}">
  <ds:schemaRefs>
    <ds:schemaRef ds:uri="http://schemas.microsoft.com/office/2006/metadata/properties"/>
    <ds:schemaRef ds:uri="http://schemas.microsoft.com/office/infopath/2007/PartnerControls"/>
    <ds:schemaRef ds:uri="1858bf09-bf04-418a-be22-3f9d2a226fc1"/>
    <ds:schemaRef ds:uri="644b10aa-f9f7-4072-807c-d65dce15b211"/>
  </ds:schemaRefs>
</ds:datastoreItem>
</file>

<file path=customXml/itemProps3.xml><?xml version="1.0" encoding="utf-8"?>
<ds:datastoreItem xmlns:ds="http://schemas.openxmlformats.org/officeDocument/2006/customXml" ds:itemID="{59F3EE23-7AA1-4858-BF3E-950C2DE2D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2910</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dc:creator>
  <cp:keywords/>
  <dc:description/>
  <cp:lastModifiedBy>Murray</cp:lastModifiedBy>
  <cp:revision>2</cp:revision>
  <dcterms:created xsi:type="dcterms:W3CDTF">2023-05-01T03:27:00Z</dcterms:created>
  <dcterms:modified xsi:type="dcterms:W3CDTF">2023-05-03T23:44:00Z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0x010100C638B81A0A4CF44C882C7F8D1AC82514</vt:lpwstr>
  </property>
</Properties>
</file>